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eastAsia="方正小标宋简体"/>
          <w:sz w:val="44"/>
          <w:szCs w:val="44"/>
        </w:rPr>
      </w:pPr>
    </w:p>
    <w:p>
      <w:pPr>
        <w:spacing w:line="600" w:lineRule="exact"/>
        <w:ind w:firstLine="880" w:firstLineChars="200"/>
        <w:jc w:val="center"/>
        <w:rPr>
          <w:rFonts w:ascii="方正小标宋简体" w:eastAsia="方正小标宋简体"/>
          <w:sz w:val="44"/>
          <w:szCs w:val="44"/>
        </w:rPr>
      </w:pPr>
    </w:p>
    <w:p>
      <w:pPr>
        <w:spacing w:line="600" w:lineRule="exact"/>
        <w:ind w:firstLine="880" w:firstLineChars="200"/>
        <w:jc w:val="center"/>
        <w:rPr>
          <w:rFonts w:ascii="方正小标宋简体" w:eastAsia="方正小标宋简体"/>
          <w:sz w:val="44"/>
          <w:szCs w:val="44"/>
        </w:rPr>
      </w:pPr>
    </w:p>
    <w:p>
      <w:pPr>
        <w:spacing w:line="600" w:lineRule="exact"/>
        <w:ind w:firstLine="880" w:firstLineChars="200"/>
        <w:jc w:val="center"/>
        <w:rPr>
          <w:rFonts w:ascii="方正小标宋简体" w:eastAsia="方正小标宋简体"/>
          <w:sz w:val="44"/>
          <w:szCs w:val="44"/>
        </w:rPr>
      </w:pPr>
    </w:p>
    <w:p>
      <w:pPr>
        <w:spacing w:line="600" w:lineRule="exact"/>
        <w:ind w:firstLine="880" w:firstLineChars="200"/>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整体绩效自评报告</w:t>
      </w: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rPr>
          <w:rFonts w:ascii="仿宋_GB2312" w:eastAsia="仿宋_GB2312"/>
          <w:sz w:val="30"/>
          <w:szCs w:val="30"/>
        </w:rPr>
      </w:pPr>
    </w:p>
    <w:p>
      <w:pPr>
        <w:spacing w:line="600" w:lineRule="exact"/>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00" w:firstLineChars="200"/>
        <w:rPr>
          <w:rFonts w:ascii="仿宋_GB2312" w:eastAsia="仿宋_GB2312"/>
          <w:sz w:val="30"/>
          <w:szCs w:val="30"/>
        </w:rPr>
      </w:pPr>
    </w:p>
    <w:p>
      <w:pPr>
        <w:spacing w:line="600" w:lineRule="exact"/>
        <w:ind w:firstLine="640" w:firstLineChars="200"/>
        <w:rPr>
          <w:rFonts w:ascii="仿宋_GB2312" w:eastAsia="仿宋_GB2312"/>
          <w:sz w:val="32"/>
          <w:szCs w:val="32"/>
        </w:rPr>
      </w:pP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部门名称：（公章）梅州市直属机关幼儿园</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下属二级预算单位数量：无</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填报人：刘秋红</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联系电话：2278554</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填报日期：2020年07月25日</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根据《梅州市财政局关于开展2020年市级财政资金绩效自评工作的通知》要求，我园认真组织对2019年财政拨款资金进行绩效自评。现将自评情况汇报如下：</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adjustRightInd w:val="0"/>
        <w:snapToGrid w:val="0"/>
        <w:spacing w:line="56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（一）部门职能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梅州市直属机关幼儿创办于1965年，是隶属市教育局主管的一所全日制的公办幼儿园，是广东省首批省一级幼儿园，梅州市学前教育科学研究中心。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主要职能有：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1.贯彻保育与教育相结合的原则，创设与幼儿的教育和发展相适应的和谐环境，引导幼儿个性的健康发展。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2.坚持以人为本的教育理念，保障幼儿的身体健康，培养幼儿的良好生活、卫生习惯；促进幼儿的智力发展；培养幼儿热爱祖国的情感以及良好的品德行为。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3.不断改革我园教育、改进教学方法，努力提高办学水平，满足广大幼儿能享受优质教学需求。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（二）年度总体工作和重点工作任务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我园工作的总体要求是：以习近平新时代中国特色社会主义思想为指导，深入贯彻落实党的十九大、习近平总书记视察广东重要讲话及全国教育大会精神，以“一切为了孩子，让孩子享受愉快的童年”为办园宗旨，以培养“快乐、健康、个性、智慧”的孩子为目标，坚持保育与教育相结合的原则，对幼儿实施体、智、德、美全面发展的教育。</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2019年我园主要重点抓好以下五个方面工作：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1.深化教学改革，提高保教质量；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2.以提高师德素养和业务能力为核心，强化教师队伍建设；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3.推动特色课程改造，传承优秀客家文化；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4.着力提升办学条件，优化</w:t>
      </w:r>
      <w:r>
        <w:rPr>
          <w:rFonts w:hint="eastAsia" w:ascii="仿宋" w:hAnsi="仿宋" w:eastAsia="仿宋"/>
          <w:sz w:val="32"/>
          <w:szCs w:val="32"/>
          <w:lang w:eastAsia="zh-CN"/>
        </w:rPr>
        <w:t>园</w:t>
      </w:r>
      <w:r>
        <w:rPr>
          <w:rFonts w:hint="eastAsia" w:ascii="仿宋" w:hAnsi="仿宋" w:eastAsia="仿宋"/>
          <w:sz w:val="32"/>
          <w:szCs w:val="32"/>
        </w:rPr>
        <w:t>园环境；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5.保障幼儿园日常工作平稳有序安全运转。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（三）部门整体支出绩效目标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以“一切为了孩子，让孩子享受愉快的童年”为宗旨，以培养“快乐、健康、个性、智慧”的孩子为目标，坚持保育与教育相结合的原则，不断加强软硬件设施建设，为幼儿德、智、体、美全面发展提供有力保障，充分发挥省一级示范幼儿园的辐射作用，较好地完成了当年部门整体支出绩效目标。</w:t>
      </w:r>
    </w:p>
    <w:p>
      <w:pPr>
        <w:adjustRightInd w:val="0"/>
        <w:snapToGrid w:val="0"/>
        <w:spacing w:line="560" w:lineRule="exact"/>
        <w:ind w:firstLine="643" w:firstLineChars="200"/>
        <w:rPr>
          <w:rFonts w:ascii="仿宋_GB2312" w:eastAsia="仿宋_GB2312"/>
          <w:sz w:val="32"/>
          <w:szCs w:val="32"/>
        </w:rPr>
      </w:pPr>
      <w:r>
        <w:rPr>
          <w:rFonts w:hint="eastAsia" w:ascii="楷体" w:hAnsi="楷体" w:eastAsia="楷体" w:cs="楷体"/>
          <w:b/>
          <w:bCs/>
          <w:sz w:val="32"/>
          <w:szCs w:val="32"/>
        </w:rPr>
        <w:t>（四）部门整体支出情况（以决算数为统计口径）</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w:t>
      </w:r>
      <w:r>
        <w:rPr>
          <w:rFonts w:hint="eastAsia" w:ascii="仿宋" w:hAnsi="仿宋" w:eastAsia="仿宋"/>
          <w:sz w:val="32"/>
          <w:szCs w:val="32"/>
        </w:rPr>
        <w:t>我园</w:t>
      </w:r>
      <w:r>
        <w:rPr>
          <w:rFonts w:ascii="仿宋_GB2312" w:eastAsia="仿宋_GB2312"/>
          <w:sz w:val="32"/>
          <w:szCs w:val="32"/>
        </w:rPr>
        <w:t>支出决算</w:t>
      </w:r>
      <w:r>
        <w:rPr>
          <w:rFonts w:hint="eastAsia" w:ascii="仿宋_GB2312" w:eastAsia="仿宋_GB2312"/>
          <w:sz w:val="32"/>
          <w:szCs w:val="32"/>
        </w:rPr>
        <w:t>1414.58万</w:t>
      </w:r>
      <w:r>
        <w:rPr>
          <w:rFonts w:ascii="仿宋_GB2312" w:eastAsia="仿宋_GB2312"/>
          <w:sz w:val="32"/>
          <w:szCs w:val="32"/>
        </w:rPr>
        <w:t>元，</w:t>
      </w:r>
      <w:r>
        <w:rPr>
          <w:rFonts w:hint="eastAsia" w:ascii="仿宋_GB2312" w:eastAsia="仿宋_GB2312"/>
          <w:sz w:val="32"/>
          <w:szCs w:val="32"/>
        </w:rPr>
        <w:t>其中基本支出1253.75万元，项目支出160.83万元。</w:t>
      </w:r>
      <w:r>
        <w:rPr>
          <w:rFonts w:hint="eastAsia" w:ascii="仿宋" w:hAnsi="仿宋" w:eastAsia="仿宋"/>
          <w:color w:val="000000" w:themeColor="text1"/>
          <w:sz w:val="32"/>
          <w:szCs w:val="32"/>
        </w:rPr>
        <w:t>其中：教育支出1108.39</w:t>
      </w:r>
      <w:r>
        <w:rPr>
          <w:rFonts w:hint="eastAsia" w:ascii="仿宋" w:hAnsi="仿宋" w:eastAsia="仿宋"/>
          <w:sz w:val="32"/>
          <w:szCs w:val="32"/>
        </w:rPr>
        <w:t>万</w:t>
      </w:r>
      <w:r>
        <w:rPr>
          <w:rFonts w:hint="eastAsia" w:ascii="仿宋" w:hAnsi="仿宋" w:eastAsia="仿宋"/>
          <w:color w:val="000000" w:themeColor="text1"/>
          <w:sz w:val="32"/>
          <w:szCs w:val="32"/>
        </w:rPr>
        <w:t>元，社会保障和就业支出228.13</w:t>
      </w:r>
      <w:r>
        <w:rPr>
          <w:rFonts w:hint="eastAsia" w:ascii="仿宋" w:hAnsi="仿宋" w:eastAsia="仿宋"/>
          <w:sz w:val="32"/>
          <w:szCs w:val="32"/>
        </w:rPr>
        <w:t>万</w:t>
      </w:r>
      <w:r>
        <w:rPr>
          <w:rFonts w:hint="eastAsia" w:ascii="仿宋" w:hAnsi="仿宋" w:eastAsia="仿宋"/>
          <w:color w:val="000000" w:themeColor="text1"/>
          <w:sz w:val="32"/>
          <w:szCs w:val="32"/>
        </w:rPr>
        <w:t>元，卫生健康支出25.11</w:t>
      </w:r>
      <w:r>
        <w:rPr>
          <w:rFonts w:hint="eastAsia" w:ascii="仿宋" w:hAnsi="仿宋" w:eastAsia="仿宋"/>
          <w:sz w:val="32"/>
          <w:szCs w:val="32"/>
        </w:rPr>
        <w:t>万</w:t>
      </w:r>
      <w:r>
        <w:rPr>
          <w:rFonts w:hint="eastAsia" w:ascii="仿宋" w:hAnsi="仿宋" w:eastAsia="仿宋"/>
          <w:color w:val="000000" w:themeColor="text1"/>
          <w:sz w:val="32"/>
          <w:szCs w:val="32"/>
        </w:rPr>
        <w:t>元，住房保障支出52.95</w:t>
      </w:r>
      <w:r>
        <w:rPr>
          <w:rFonts w:hint="eastAsia" w:ascii="仿宋" w:hAnsi="仿宋" w:eastAsia="仿宋"/>
          <w:sz w:val="32"/>
          <w:szCs w:val="32"/>
        </w:rPr>
        <w:t>万</w:t>
      </w:r>
      <w:r>
        <w:rPr>
          <w:rFonts w:hint="eastAsia" w:ascii="仿宋" w:hAnsi="仿宋" w:eastAsia="仿宋"/>
          <w:color w:val="000000" w:themeColor="text1"/>
          <w:sz w:val="32"/>
          <w:szCs w:val="32"/>
        </w:rPr>
        <w:t>元。</w:t>
      </w:r>
      <w:r>
        <w:rPr>
          <w:rFonts w:hint="eastAsia" w:ascii="仿宋_GB2312" w:eastAsia="仿宋_GB2312"/>
          <w:sz w:val="32"/>
          <w:szCs w:val="32"/>
        </w:rPr>
        <w:t>2019年度期初结余97.92万元，期末结转和结余53.59万元。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我园财务运行情况总的态势良好,在财务运作过程中,坚持做到年初有预算，年中有控制，年终有分析与评价，全面梳理和优化支出流程，健全预算编制和执行相适应制度；突出重点，认真抓好大额的重点项目支出，在合法依规、安全可靠的前提下及时高效地做好支出工作，基本完成2019年整体收支目标，并依据《政府会计制度》进行会计核算，严格按有关文件精神实行收支两条线，明确职责，加强监督，确保我园财务阳光运行。</w:t>
      </w:r>
    </w:p>
    <w:p>
      <w:pPr>
        <w:widowControl/>
        <w:adjustRightInd w:val="0"/>
        <w:snapToGrid w:val="0"/>
        <w:spacing w:line="560" w:lineRule="exact"/>
        <w:ind w:firstLine="643" w:firstLineChars="200"/>
        <w:jc w:val="left"/>
        <w:rPr>
          <w:b/>
          <w:bCs/>
          <w:sz w:val="32"/>
          <w:szCs w:val="32"/>
        </w:rPr>
      </w:pPr>
      <w:r>
        <w:rPr>
          <w:rFonts w:ascii="仿宋_GB2312" w:hAnsi="仿宋_GB2312" w:eastAsia="仿宋_GB2312" w:cs="仿宋_GB2312"/>
          <w:b/>
          <w:bCs/>
          <w:color w:val="000000"/>
          <w:kern w:val="0"/>
          <w:sz w:val="32"/>
          <w:szCs w:val="32"/>
        </w:rPr>
        <w:t>1.单位总体收支情况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2019年，我园收入决算1468.17万元，其中一般公共预算财政预算拨款收入1088.16万元，政府性基金预算财政拨款收入0.00万元，上级补助收入0.90万元，事业收入196.07万元。</w:t>
      </w:r>
      <w:r>
        <w:rPr>
          <w:rFonts w:ascii="仿宋_GB2312" w:eastAsia="仿宋_GB2312"/>
          <w:sz w:val="32"/>
          <w:szCs w:val="32"/>
        </w:rPr>
        <w:t>201</w:t>
      </w:r>
      <w:r>
        <w:rPr>
          <w:rFonts w:hint="eastAsia" w:ascii="仿宋_GB2312" w:eastAsia="仿宋_GB2312"/>
          <w:sz w:val="32"/>
          <w:szCs w:val="32"/>
        </w:rPr>
        <w:t>9</w:t>
      </w:r>
      <w:r>
        <w:rPr>
          <w:rFonts w:ascii="仿宋_GB2312" w:eastAsia="仿宋_GB2312"/>
          <w:sz w:val="32"/>
          <w:szCs w:val="32"/>
        </w:rPr>
        <w:t>年支出决算</w:t>
      </w:r>
      <w:r>
        <w:rPr>
          <w:rFonts w:hint="eastAsia" w:ascii="仿宋_GB2312" w:eastAsia="仿宋_GB2312"/>
          <w:sz w:val="32"/>
          <w:szCs w:val="32"/>
        </w:rPr>
        <w:t>1414.58万</w:t>
      </w:r>
      <w:r>
        <w:rPr>
          <w:rFonts w:ascii="仿宋_GB2312" w:eastAsia="仿宋_GB2312"/>
          <w:sz w:val="32"/>
          <w:szCs w:val="32"/>
        </w:rPr>
        <w:t>元，</w:t>
      </w:r>
      <w:r>
        <w:rPr>
          <w:rFonts w:hint="eastAsia" w:ascii="仿宋_GB2312" w:eastAsia="仿宋_GB2312"/>
          <w:sz w:val="32"/>
          <w:szCs w:val="32"/>
        </w:rPr>
        <w:t>其中基本支出1253.75万元，项目支出160.83万元。2019年度期末结转和结余53.59万元。</w:t>
      </w:r>
    </w:p>
    <w:p>
      <w:pPr>
        <w:widowControl/>
        <w:adjustRightInd w:val="0"/>
        <w:snapToGrid w:val="0"/>
        <w:spacing w:line="560" w:lineRule="exact"/>
        <w:ind w:firstLine="643" w:firstLineChars="200"/>
        <w:jc w:val="left"/>
        <w:rPr>
          <w:b/>
          <w:bCs/>
          <w:sz w:val="32"/>
          <w:szCs w:val="32"/>
        </w:rPr>
      </w:pPr>
      <w:r>
        <w:rPr>
          <w:rFonts w:ascii="仿宋_GB2312" w:hAnsi="仿宋_GB2312" w:eastAsia="仿宋_GB2312" w:cs="仿宋_GB2312"/>
          <w:b/>
          <w:bCs/>
          <w:color w:val="000000"/>
          <w:kern w:val="0"/>
          <w:sz w:val="32"/>
          <w:szCs w:val="32"/>
        </w:rPr>
        <w:t>2.财政收支情况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按支出功能分类看，2019年我园财政拨款收入1088.16万元，其中：教育支出780.47万 元，社会保障和就业支出228.13万元，行政事业单位医疗25.11万元，住房保障支出52.95万元。</w:t>
      </w:r>
    </w:p>
    <w:p>
      <w:pPr>
        <w:adjustRightInd w:val="0"/>
        <w:snapToGrid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2019年财政拨款支出1132.49</w:t>
      </w:r>
      <w:r>
        <w:rPr>
          <w:rFonts w:hint="eastAsia" w:ascii="仿宋" w:hAnsi="仿宋" w:eastAsia="仿宋"/>
          <w:sz w:val="32"/>
          <w:szCs w:val="32"/>
        </w:rPr>
        <w:t>万</w:t>
      </w:r>
      <w:r>
        <w:rPr>
          <w:rFonts w:hint="eastAsia" w:ascii="仿宋" w:hAnsi="仿宋" w:eastAsia="仿宋"/>
          <w:color w:val="000000" w:themeColor="text1"/>
          <w:sz w:val="32"/>
          <w:szCs w:val="32"/>
        </w:rPr>
        <w:t>元，其中：教育支出826.29</w:t>
      </w:r>
      <w:r>
        <w:rPr>
          <w:rFonts w:hint="eastAsia" w:ascii="仿宋" w:hAnsi="仿宋" w:eastAsia="仿宋"/>
          <w:sz w:val="32"/>
          <w:szCs w:val="32"/>
        </w:rPr>
        <w:t>万</w:t>
      </w:r>
      <w:r>
        <w:rPr>
          <w:rFonts w:hint="eastAsia" w:ascii="仿宋" w:hAnsi="仿宋" w:eastAsia="仿宋"/>
          <w:color w:val="000000" w:themeColor="text1"/>
          <w:sz w:val="32"/>
          <w:szCs w:val="32"/>
        </w:rPr>
        <w:t>元，社会保障和就业支出228.13</w:t>
      </w:r>
      <w:r>
        <w:rPr>
          <w:rFonts w:hint="eastAsia" w:ascii="仿宋" w:hAnsi="仿宋" w:eastAsia="仿宋"/>
          <w:sz w:val="32"/>
          <w:szCs w:val="32"/>
        </w:rPr>
        <w:t>万</w:t>
      </w:r>
      <w:r>
        <w:rPr>
          <w:rFonts w:hint="eastAsia" w:ascii="仿宋" w:hAnsi="仿宋" w:eastAsia="仿宋"/>
          <w:color w:val="000000" w:themeColor="text1"/>
          <w:sz w:val="32"/>
          <w:szCs w:val="32"/>
        </w:rPr>
        <w:t>元，卫生健康支出25.11</w:t>
      </w:r>
      <w:r>
        <w:rPr>
          <w:rFonts w:hint="eastAsia" w:ascii="仿宋" w:hAnsi="仿宋" w:eastAsia="仿宋"/>
          <w:sz w:val="32"/>
          <w:szCs w:val="32"/>
        </w:rPr>
        <w:t>万</w:t>
      </w:r>
      <w:r>
        <w:rPr>
          <w:rFonts w:hint="eastAsia" w:ascii="仿宋" w:hAnsi="仿宋" w:eastAsia="仿宋"/>
          <w:color w:val="000000" w:themeColor="text1"/>
          <w:sz w:val="32"/>
          <w:szCs w:val="32"/>
        </w:rPr>
        <w:t>元，住房保障支出52.95</w:t>
      </w:r>
      <w:r>
        <w:rPr>
          <w:rFonts w:hint="eastAsia" w:ascii="仿宋" w:hAnsi="仿宋" w:eastAsia="仿宋"/>
          <w:sz w:val="32"/>
          <w:szCs w:val="32"/>
        </w:rPr>
        <w:t>万</w:t>
      </w:r>
      <w:r>
        <w:rPr>
          <w:rFonts w:hint="eastAsia" w:ascii="仿宋" w:hAnsi="仿宋" w:eastAsia="仿宋"/>
          <w:color w:val="000000" w:themeColor="text1"/>
          <w:sz w:val="32"/>
          <w:szCs w:val="32"/>
        </w:rPr>
        <w:t>元。</w:t>
      </w:r>
    </w:p>
    <w:p>
      <w:pPr>
        <w:adjustRightInd w:val="0"/>
        <w:snapToGrid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2019年初财政拨款结转和结余97.92</w:t>
      </w:r>
      <w:r>
        <w:rPr>
          <w:rFonts w:hint="eastAsia" w:ascii="仿宋_GB2312" w:eastAsia="仿宋_GB2312"/>
          <w:sz w:val="32"/>
          <w:szCs w:val="32"/>
        </w:rPr>
        <w:t>万</w:t>
      </w:r>
      <w:r>
        <w:rPr>
          <w:rFonts w:hint="eastAsia" w:ascii="仿宋" w:hAnsi="仿宋" w:eastAsia="仿宋"/>
          <w:color w:val="000000" w:themeColor="text1"/>
          <w:sz w:val="32"/>
          <w:szCs w:val="32"/>
        </w:rPr>
        <w:t>元，年末财政拨款结转和结余53.59</w:t>
      </w:r>
      <w:r>
        <w:rPr>
          <w:rFonts w:hint="eastAsia" w:ascii="仿宋_GB2312" w:eastAsia="仿宋_GB2312"/>
          <w:sz w:val="32"/>
          <w:szCs w:val="32"/>
        </w:rPr>
        <w:t>万</w:t>
      </w:r>
      <w:r>
        <w:rPr>
          <w:rFonts w:hint="eastAsia" w:ascii="仿宋" w:hAnsi="仿宋" w:eastAsia="仿宋"/>
          <w:color w:val="000000" w:themeColor="text1"/>
          <w:sz w:val="32"/>
          <w:szCs w:val="32"/>
        </w:rPr>
        <w:t xml:space="preserve">元。 </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二、绩效自评情况</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根据部门整体支出绩效评价指标，我园2019年度自评得分为</w:t>
      </w:r>
      <w:r>
        <w:rPr>
          <w:rFonts w:hint="eastAsia" w:ascii="仿宋_GB2312" w:eastAsia="仿宋_GB2312"/>
          <w:b/>
          <w:sz w:val="32"/>
          <w:szCs w:val="32"/>
        </w:rPr>
        <w:t>99</w:t>
      </w:r>
      <w:r>
        <w:rPr>
          <w:rFonts w:hint="eastAsia" w:ascii="仿宋_GB2312" w:eastAsia="仿宋_GB2312"/>
          <w:sz w:val="32"/>
          <w:szCs w:val="32"/>
        </w:rPr>
        <w:t>分。（详见附件）</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（二）部门整体支出绩效指标分析</w:t>
      </w:r>
    </w:p>
    <w:p>
      <w:pPr>
        <w:adjustRightInd w:val="0"/>
        <w:snapToGrid w:val="0"/>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1.预算编制情况（此项总分23分，自评得分22分）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在预算编制方面，该项指标自评分为11分。一是在预算编制合理性方面，我园严格按照财政局预算编制通知和有关要求，预算的编制符合本部门职责和市委市政府的方针政策和工作要求，项目资金的使用能根据轻重缓急进行合理分配，自评分6分。二是在财政拨款收入预决算差异率方面，我园能根据实际情况准确编制财政收入预算，预决算差异率为0，自评分5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在预算目标设置方面，该项指标自评分为11分。一是在绩效目标合理性方面，我园所设立的整体绩效目标依据充分，符合客观实际，绩效目标的设立与部门履职和年度工作任务的相符性较高，自评分6分。二是在绩效指标明确性方面，我园的绩效指标设置缺少量化指标，没有完全符合要求，故自评分数扣1分，自评分5分。</w:t>
      </w:r>
    </w:p>
    <w:p>
      <w:pPr>
        <w:adjustRightInd w:val="0"/>
        <w:snapToGrid w:val="0"/>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2.预算执行情况（此项总分43分，自评得分43分）</w:t>
      </w:r>
    </w:p>
    <w:p>
      <w:pPr>
        <w:adjustRightInd w:val="0"/>
        <w:snapToGrid w:val="0"/>
        <w:spacing w:line="560" w:lineRule="exact"/>
        <w:ind w:firstLine="640" w:firstLineChars="200"/>
        <w:rPr>
          <w:rFonts w:ascii="仿宋_GB2312" w:hAnsi="仿宋_GB2312" w:eastAsia="仿宋_GB2312" w:cs="仿宋_GB2312"/>
          <w:b/>
          <w:bCs/>
          <w:color w:val="000000"/>
          <w:kern w:val="0"/>
          <w:sz w:val="32"/>
          <w:szCs w:val="32"/>
        </w:rPr>
      </w:pPr>
      <w:r>
        <w:rPr>
          <w:rFonts w:hint="eastAsia" w:ascii="仿宋_GB2312" w:eastAsia="仿宋_GB2312"/>
          <w:sz w:val="32"/>
          <w:szCs w:val="32"/>
        </w:rPr>
        <w:t>（1）在资金管理方面，该项指标自评分为25分。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rPr>
          <w:sz w:val="32"/>
          <w:szCs w:val="32"/>
        </w:rPr>
        <w:t>①</w:t>
      </w:r>
      <w:r>
        <w:rPr>
          <w:rFonts w:hint="eastAsia" w:ascii="仿宋_GB2312" w:eastAsia="仿宋_GB2312"/>
          <w:sz w:val="32"/>
          <w:szCs w:val="32"/>
        </w:rPr>
        <w:fldChar w:fldCharType="end"/>
      </w:r>
      <w:r>
        <w:rPr>
          <w:rFonts w:hint="eastAsia" w:ascii="仿宋_GB2312" w:eastAsia="仿宋_GB2312"/>
          <w:sz w:val="32"/>
          <w:szCs w:val="32"/>
        </w:rPr>
        <w:t>部门预算资金支出率方面，2019年我园部门预算资金全年下达额度1105.85万元，总支出1105.85万元，总进度为100%，指标得分9分，故自评分为9分。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rPr>
          <w:sz w:val="32"/>
          <w:szCs w:val="32"/>
        </w:rPr>
        <w:t>②</w:t>
      </w:r>
      <w:r>
        <w:rPr>
          <w:rFonts w:hint="eastAsia" w:ascii="仿宋_GB2312" w:eastAsia="仿宋_GB2312"/>
          <w:sz w:val="32"/>
          <w:szCs w:val="32"/>
        </w:rPr>
        <w:fldChar w:fldCharType="end"/>
      </w:r>
      <w:r>
        <w:rPr>
          <w:rFonts w:hint="eastAsia" w:ascii="仿宋_GB2312" w:eastAsia="仿宋_GB2312"/>
          <w:sz w:val="32"/>
          <w:szCs w:val="32"/>
        </w:rPr>
        <w:t>在结转结余率方面，我园年末财政拨款结转和结余决算数为53.59万元，年初财政拨款结转和结余决算数为97.92元，一般公共预算财政拨款决算数为1088.16万元，政府性基金预算财政拨款0.00万元，结转结余率为4.54%。该指标自评分数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 MERGEFORMAT </w:instrText>
      </w:r>
      <w:r>
        <w:rPr>
          <w:rFonts w:hint="eastAsia" w:ascii="仿宋_GB2312" w:eastAsia="仿宋_GB2312"/>
          <w:sz w:val="32"/>
          <w:szCs w:val="32"/>
        </w:rPr>
        <w:fldChar w:fldCharType="separate"/>
      </w:r>
      <w:r>
        <w:rPr>
          <w:sz w:val="32"/>
          <w:szCs w:val="32"/>
        </w:rPr>
        <w:t>③</w:t>
      </w:r>
      <w:r>
        <w:rPr>
          <w:rFonts w:hint="eastAsia" w:ascii="仿宋_GB2312" w:eastAsia="仿宋_GB2312"/>
          <w:sz w:val="32"/>
          <w:szCs w:val="32"/>
        </w:rPr>
        <w:fldChar w:fldCharType="end"/>
      </w:r>
      <w:r>
        <w:rPr>
          <w:rFonts w:hint="eastAsia" w:ascii="仿宋_GB2312" w:eastAsia="仿宋_GB2312"/>
          <w:sz w:val="32"/>
          <w:szCs w:val="32"/>
        </w:rPr>
        <w:t>在国库集中支付结转结余存量资金效率性方面，2019年末存量资金为53.59万元，2019年年末存量资金为53.59万元(年未结存资金为2019年11月下拨资金，</w:t>
      </w:r>
      <w:r>
        <w:rPr>
          <w:rFonts w:hint="eastAsia" w:ascii="仿宋" w:hAnsi="仿宋" w:eastAsia="仿宋"/>
          <w:sz w:val="32"/>
          <w:szCs w:val="32"/>
        </w:rPr>
        <w:t>2019年项目计划进度16.67%，实际已完成项目进度23.81%，</w:t>
      </w:r>
      <w:r>
        <w:rPr>
          <w:rFonts w:hint="eastAsia" w:ascii="仿宋_GB2312" w:eastAsia="仿宋_GB2312"/>
          <w:sz w:val="32"/>
          <w:szCs w:val="32"/>
        </w:rPr>
        <w:t>建设年限为一年，故结转2020年使用)，年末存量资金变动率为-45%。该指标自评分数为3分。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 MERGEFORMAT </w:instrText>
      </w:r>
      <w:r>
        <w:rPr>
          <w:rFonts w:hint="eastAsia" w:ascii="仿宋_GB2312" w:eastAsia="仿宋_GB2312"/>
          <w:sz w:val="32"/>
          <w:szCs w:val="32"/>
        </w:rPr>
        <w:fldChar w:fldCharType="separate"/>
      </w:r>
      <w:r>
        <w:rPr>
          <w:sz w:val="32"/>
          <w:szCs w:val="32"/>
        </w:rPr>
        <w:t>④</w:t>
      </w:r>
      <w:r>
        <w:rPr>
          <w:rFonts w:hint="eastAsia" w:ascii="仿宋_GB2312" w:eastAsia="仿宋_GB2312"/>
          <w:sz w:val="32"/>
          <w:szCs w:val="32"/>
        </w:rPr>
        <w:fldChar w:fldCharType="end"/>
      </w:r>
      <w:r>
        <w:rPr>
          <w:rFonts w:hint="eastAsia" w:ascii="仿宋_GB2312" w:eastAsia="仿宋_GB2312"/>
          <w:sz w:val="32"/>
          <w:szCs w:val="32"/>
        </w:rPr>
        <w:t>在政府采购执行率方面，根据广东省政府采购网的相关数据统计信息，我园2019年实际采购金额为50.85万元，采购计划金额为50.85万元，实际采购金额等于计划采购金额。该指标自评分数2分。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GB3 \* MERGEFORMAT </w:instrText>
      </w:r>
      <w:r>
        <w:rPr>
          <w:rFonts w:hint="eastAsia" w:ascii="仿宋_GB2312" w:eastAsia="仿宋_GB2312"/>
          <w:sz w:val="32"/>
          <w:szCs w:val="32"/>
        </w:rPr>
        <w:fldChar w:fldCharType="separate"/>
      </w:r>
      <w:r>
        <w:rPr>
          <w:sz w:val="32"/>
          <w:szCs w:val="32"/>
        </w:rPr>
        <w:t>⑤</w:t>
      </w:r>
      <w:r>
        <w:rPr>
          <w:rFonts w:hint="eastAsia" w:ascii="仿宋_GB2312" w:eastAsia="仿宋_GB2312"/>
          <w:sz w:val="32"/>
          <w:szCs w:val="32"/>
        </w:rPr>
        <w:fldChar w:fldCharType="end"/>
      </w:r>
      <w:r>
        <w:rPr>
          <w:rFonts w:hint="eastAsia" w:ascii="仿宋_GB2312" w:eastAsia="仿宋_GB2312"/>
          <w:sz w:val="32"/>
          <w:szCs w:val="32"/>
        </w:rPr>
        <w:t>在财务合规性方面，我园能严格执行资金管理资金管理、费用支出等制度，会计核算能规范反映资金使用情况，不存在支出依据不合规、虚列项目、截留、挤占、挪用项目资金情况。该指标自评分数为4分。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GB3 \* MERGEFORMAT </w:instrText>
      </w:r>
      <w:r>
        <w:rPr>
          <w:rFonts w:hint="eastAsia" w:ascii="仿宋_GB2312" w:eastAsia="仿宋_GB2312"/>
          <w:sz w:val="32"/>
          <w:szCs w:val="32"/>
        </w:rPr>
        <w:fldChar w:fldCharType="separate"/>
      </w:r>
      <w:r>
        <w:rPr>
          <w:sz w:val="32"/>
          <w:szCs w:val="32"/>
        </w:rPr>
        <w:t>⑥</w:t>
      </w:r>
      <w:r>
        <w:rPr>
          <w:rFonts w:hint="eastAsia" w:ascii="仿宋_GB2312" w:eastAsia="仿宋_GB2312"/>
          <w:sz w:val="32"/>
          <w:szCs w:val="32"/>
        </w:rPr>
        <w:fldChar w:fldCharType="end"/>
      </w:r>
      <w:r>
        <w:rPr>
          <w:rFonts w:hint="eastAsia" w:ascii="仿宋_GB2312" w:eastAsia="仿宋_GB2312"/>
          <w:sz w:val="32"/>
          <w:szCs w:val="32"/>
        </w:rPr>
        <w:t>在预决算信息公开性方面，我园能及时进行预算编制，在财政部门规定的时间内上报预算编制，未出现超时报送现象，同时，我园在我园网站向社会公众进行公开，预算报告和决算报告均符合公开规范性检查指标。该指标自评分数为4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（2）在项目管理方面，该项自评分为5分。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rPr>
          <w:sz w:val="32"/>
          <w:szCs w:val="32"/>
        </w:rPr>
        <w:t>①</w:t>
      </w:r>
      <w:r>
        <w:rPr>
          <w:rFonts w:hint="eastAsia" w:ascii="仿宋_GB2312" w:eastAsia="仿宋_GB2312"/>
          <w:sz w:val="32"/>
          <w:szCs w:val="32"/>
        </w:rPr>
        <w:fldChar w:fldCharType="end"/>
      </w:r>
      <w:r>
        <w:rPr>
          <w:rFonts w:hint="eastAsia" w:ascii="仿宋_GB2312" w:eastAsia="仿宋_GB2312"/>
          <w:sz w:val="32"/>
          <w:szCs w:val="32"/>
        </w:rPr>
        <w:t>在项目实施程序方面，2019年我园所有项目支出实施过程规范，均符合申报条件，申报、批复程序符合相关管理办法，项目招投标、调整、完成验收等履行相应手续。该指标自评分数为2分。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rPr>
          <w:sz w:val="32"/>
          <w:szCs w:val="32"/>
        </w:rPr>
        <w:t>②</w:t>
      </w:r>
      <w:r>
        <w:rPr>
          <w:rFonts w:hint="eastAsia" w:ascii="仿宋_GB2312" w:eastAsia="仿宋_GB2312"/>
          <w:sz w:val="32"/>
          <w:szCs w:val="32"/>
        </w:rPr>
        <w:fldChar w:fldCharType="end"/>
      </w:r>
      <w:r>
        <w:rPr>
          <w:rFonts w:hint="eastAsia" w:ascii="仿宋_GB2312" w:eastAsia="仿宋_GB2312"/>
          <w:sz w:val="32"/>
          <w:szCs w:val="32"/>
        </w:rPr>
        <w:t>在项目监管方面，我园对专项资金和专项经费的使用能积极做好检查、监控、督促等管理工作，且不存在被评价年度部门主管的市级专项资金绩效评价等级有低或差的的情况。该指标自评分数为3分。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（3）在资产管理方面，该项目自评分为13分。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GB3 \* MERGEFORMAT </w:instrText>
      </w:r>
      <w:r>
        <w:rPr>
          <w:rFonts w:hint="eastAsia" w:ascii="仿宋_GB2312" w:eastAsia="仿宋_GB2312"/>
          <w:sz w:val="32"/>
          <w:szCs w:val="32"/>
        </w:rPr>
        <w:fldChar w:fldCharType="separate"/>
      </w:r>
      <w:r>
        <w:rPr>
          <w:sz w:val="32"/>
          <w:szCs w:val="32"/>
        </w:rPr>
        <w:t>①</w:t>
      </w:r>
      <w:r>
        <w:rPr>
          <w:rFonts w:hint="eastAsia" w:ascii="仿宋_GB2312" w:eastAsia="仿宋_GB2312"/>
          <w:sz w:val="32"/>
          <w:szCs w:val="32"/>
        </w:rPr>
        <w:fldChar w:fldCharType="end"/>
      </w:r>
      <w:r>
        <w:rPr>
          <w:rFonts w:hint="eastAsia" w:ascii="仿宋_GB2312" w:eastAsia="仿宋_GB2312"/>
          <w:sz w:val="32"/>
          <w:szCs w:val="32"/>
        </w:rPr>
        <w:t>在报送及时性方面，我园的国有资产年报和月报均能按时进行报送。该指标自评分数为2分。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GB3 \* MERGEFORMAT </w:instrText>
      </w:r>
      <w:r>
        <w:rPr>
          <w:rFonts w:hint="eastAsia" w:ascii="仿宋_GB2312" w:eastAsia="仿宋_GB2312"/>
          <w:sz w:val="32"/>
          <w:szCs w:val="32"/>
        </w:rPr>
        <w:fldChar w:fldCharType="separate"/>
      </w:r>
      <w:r>
        <w:rPr>
          <w:sz w:val="32"/>
          <w:szCs w:val="32"/>
        </w:rPr>
        <w:t>②</w:t>
      </w:r>
      <w:r>
        <w:rPr>
          <w:rFonts w:hint="eastAsia" w:ascii="仿宋_GB2312" w:eastAsia="仿宋_GB2312"/>
          <w:sz w:val="32"/>
          <w:szCs w:val="32"/>
        </w:rPr>
        <w:fldChar w:fldCharType="end"/>
      </w:r>
      <w:r>
        <w:rPr>
          <w:rFonts w:hint="eastAsia" w:ascii="仿宋_GB2312" w:eastAsia="仿宋_GB2312"/>
          <w:sz w:val="32"/>
          <w:szCs w:val="32"/>
        </w:rPr>
        <w:t>在数据质量方面，我园报送的2019年国有资产年报能做到数据完整、准确，并对其中的核实性问题均能提供有效、真实的说明。该指标自评分数为3分。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GB3 \* MERGEFORMAT </w:instrText>
      </w:r>
      <w:r>
        <w:rPr>
          <w:rFonts w:hint="eastAsia" w:ascii="仿宋_GB2312" w:eastAsia="仿宋_GB2312"/>
          <w:sz w:val="32"/>
          <w:szCs w:val="32"/>
        </w:rPr>
        <w:fldChar w:fldCharType="separate"/>
      </w:r>
      <w:r>
        <w:rPr>
          <w:sz w:val="32"/>
          <w:szCs w:val="32"/>
        </w:rPr>
        <w:t>③</w:t>
      </w:r>
      <w:r>
        <w:rPr>
          <w:rFonts w:hint="eastAsia" w:ascii="仿宋_GB2312" w:eastAsia="仿宋_GB2312"/>
          <w:sz w:val="32"/>
          <w:szCs w:val="32"/>
        </w:rPr>
        <w:fldChar w:fldCharType="end"/>
      </w:r>
      <w:r>
        <w:rPr>
          <w:rFonts w:hint="eastAsia" w:ascii="仿宋_GB2312" w:eastAsia="仿宋_GB2312"/>
          <w:sz w:val="32"/>
          <w:szCs w:val="32"/>
        </w:rPr>
        <w:t>在账务核对情况方面，在年度资产的清查过程中，通过对资产账与财务账进行核对，做到资产账与财务账相符。该指标自评分数为3分。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GB3 \* MERGEFORMAT </w:instrText>
      </w:r>
      <w:r>
        <w:rPr>
          <w:rFonts w:hint="eastAsia" w:ascii="仿宋_GB2312" w:eastAsia="仿宋_GB2312"/>
          <w:sz w:val="32"/>
          <w:szCs w:val="32"/>
        </w:rPr>
        <w:fldChar w:fldCharType="separate"/>
      </w:r>
      <w:r>
        <w:rPr>
          <w:sz w:val="32"/>
          <w:szCs w:val="32"/>
        </w:rPr>
        <w:t>④</w:t>
      </w:r>
      <w:r>
        <w:rPr>
          <w:rFonts w:hint="eastAsia" w:ascii="仿宋_GB2312" w:eastAsia="仿宋_GB2312"/>
          <w:sz w:val="32"/>
          <w:szCs w:val="32"/>
        </w:rPr>
        <w:fldChar w:fldCharType="end"/>
      </w:r>
      <w:r>
        <w:rPr>
          <w:rFonts w:hint="eastAsia" w:ascii="仿宋_GB2312" w:eastAsia="仿宋_GB2312"/>
          <w:sz w:val="32"/>
          <w:szCs w:val="32"/>
        </w:rPr>
        <w:t>在资产管理合规性方面，我园完善了国有资产管理内部管理制度和规程，并严格按照相关管理制度执行。该指标自评分数为2分。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GB3 \* MERGEFORMAT </w:instrText>
      </w:r>
      <w:r>
        <w:rPr>
          <w:rFonts w:hint="eastAsia" w:ascii="仿宋_GB2312" w:eastAsia="仿宋_GB2312"/>
          <w:sz w:val="32"/>
          <w:szCs w:val="32"/>
        </w:rPr>
        <w:fldChar w:fldCharType="separate"/>
      </w:r>
      <w:r>
        <w:rPr>
          <w:sz w:val="32"/>
          <w:szCs w:val="32"/>
        </w:rPr>
        <w:t>⑤</w:t>
      </w:r>
      <w:r>
        <w:rPr>
          <w:rFonts w:hint="eastAsia" w:ascii="仿宋_GB2312" w:eastAsia="仿宋_GB2312"/>
          <w:sz w:val="32"/>
          <w:szCs w:val="32"/>
        </w:rPr>
        <w:fldChar w:fldCharType="end"/>
      </w:r>
      <w:r>
        <w:rPr>
          <w:rFonts w:hint="eastAsia" w:ascii="仿宋_GB2312" w:eastAsia="仿宋_GB2312"/>
          <w:sz w:val="32"/>
          <w:szCs w:val="32"/>
        </w:rPr>
        <w:t>在固定资产利用率方面，我园的固定资产使用率高，能做到物尽其用，该指标自评分为2分。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总之，我园高度重视资产管理工作，依据财经法规及财务制度要求做好资产管理工作，由总务室负责我园资产管理工作，制定了《梅州市直属机关幼儿园资产管理办法》等制度，严格执行资产采购、出入库、日常登记及处置等管理工作。所有固定资产、无形资产均纳入市财政统一的行政事业单位资产管理系统进行管理，并于每年末对资产进行盘点，确保账账、账实相符。</w:t>
      </w:r>
    </w:p>
    <w:p>
      <w:pPr>
        <w:adjustRightInd w:val="0"/>
        <w:snapToGrid w:val="0"/>
        <w:spacing w:line="560" w:lineRule="exact"/>
        <w:ind w:firstLine="643" w:firstLineChars="200"/>
        <w:rPr>
          <w:rFonts w:ascii="仿宋" w:hAnsi="仿宋" w:eastAsia="仿宋" w:cs="仿宋_GB2312"/>
          <w:b/>
          <w:bCs/>
          <w:color w:val="000000"/>
          <w:kern w:val="0"/>
          <w:sz w:val="32"/>
          <w:szCs w:val="32"/>
          <w:highlight w:val="cyan"/>
        </w:rPr>
      </w:pPr>
      <w:r>
        <w:rPr>
          <w:rFonts w:hint="eastAsia" w:ascii="仿宋" w:hAnsi="仿宋" w:eastAsia="仿宋" w:cs="仿宋_GB2312"/>
          <w:b/>
          <w:bCs/>
          <w:color w:val="000000"/>
          <w:kern w:val="0"/>
          <w:sz w:val="32"/>
          <w:szCs w:val="32"/>
        </w:rPr>
        <w:t>3.预算使用效益</w:t>
      </w:r>
      <w:r>
        <w:rPr>
          <w:rFonts w:hint="eastAsia" w:ascii="仿宋_GB2312" w:hAnsi="仿宋_GB2312" w:eastAsia="仿宋_GB2312" w:cs="仿宋_GB2312"/>
          <w:b/>
          <w:bCs/>
          <w:color w:val="000000"/>
          <w:kern w:val="0"/>
          <w:sz w:val="32"/>
          <w:szCs w:val="32"/>
        </w:rPr>
        <w:t>（此项总分34分，自评得分34分）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（1）在经济性方面，该项指标自评分为4分。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2019年，我园“三公”经费和日常公用经费基本按照预算计划支出，对机构运转成本做到严格控制。其中，三公经费统计数为0.00</w:t>
      </w:r>
      <w:r>
        <w:rPr>
          <w:rFonts w:hint="eastAsia" w:ascii="仿宋_GB2312" w:eastAsia="仿宋_GB2312"/>
          <w:sz w:val="32"/>
          <w:szCs w:val="32"/>
        </w:rPr>
        <w:t>万</w:t>
      </w:r>
      <w:r>
        <w:rPr>
          <w:rFonts w:hint="eastAsia" w:ascii="仿宋" w:hAnsi="仿宋" w:eastAsia="仿宋"/>
          <w:sz w:val="32"/>
          <w:szCs w:val="32"/>
        </w:rPr>
        <w:t>元，当年预算数0.30</w:t>
      </w:r>
      <w:r>
        <w:rPr>
          <w:rFonts w:hint="eastAsia" w:ascii="仿宋_GB2312" w:eastAsia="仿宋_GB2312"/>
          <w:sz w:val="32"/>
          <w:szCs w:val="32"/>
        </w:rPr>
        <w:t>万</w:t>
      </w:r>
      <w:r>
        <w:rPr>
          <w:rFonts w:hint="eastAsia" w:ascii="仿宋" w:hAnsi="仿宋" w:eastAsia="仿宋"/>
          <w:sz w:val="32"/>
          <w:szCs w:val="32"/>
        </w:rPr>
        <w:t>元；日常公用经费决算数40.41万元，调整预算数40.41万元。</w:t>
      </w:r>
    </w:p>
    <w:p>
      <w:pPr>
        <w:adjustRightInd w:val="0"/>
        <w:snapToGrid w:val="0"/>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（2）在效率性方面，该项指标自评分为12分。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一是重点工作完成率100%，自评分数5分。我园2019年的重点工作包括：</w:t>
      </w:r>
      <w:r>
        <w:rPr>
          <w:rFonts w:hint="eastAsia" w:ascii="仿宋" w:hAnsi="仿宋" w:eastAsia="仿宋"/>
          <w:sz w:val="32"/>
          <w:szCs w:val="32"/>
        </w:rPr>
        <w:fldChar w:fldCharType="begin"/>
      </w:r>
      <w:r>
        <w:rPr>
          <w:rFonts w:hint="eastAsia" w:ascii="仿宋" w:hAnsi="仿宋" w:eastAsia="仿宋"/>
          <w:sz w:val="32"/>
          <w:szCs w:val="32"/>
        </w:rPr>
        <w:instrText xml:space="preserve"> = 1 \* GB3 \* MERGEFORMAT </w:instrText>
      </w:r>
      <w:r>
        <w:rPr>
          <w:rFonts w:hint="eastAsia" w:ascii="仿宋" w:hAnsi="仿宋" w:eastAsia="仿宋"/>
          <w:sz w:val="32"/>
          <w:szCs w:val="32"/>
        </w:rPr>
        <w:fldChar w:fldCharType="separate"/>
      </w:r>
      <w:r>
        <w:rPr>
          <w:rFonts w:hint="eastAsia" w:ascii="仿宋" w:hAnsi="仿宋" w:eastAsia="仿宋"/>
          <w:sz w:val="32"/>
          <w:szCs w:val="32"/>
        </w:rPr>
        <w:t>①</w:t>
      </w:r>
      <w:r>
        <w:rPr>
          <w:rFonts w:hint="eastAsia" w:ascii="仿宋" w:hAnsi="仿宋" w:eastAsia="仿宋"/>
          <w:sz w:val="32"/>
          <w:szCs w:val="32"/>
        </w:rPr>
        <w:fldChar w:fldCharType="end"/>
      </w:r>
      <w:r>
        <w:rPr>
          <w:rFonts w:hint="eastAsia" w:ascii="仿宋" w:hAnsi="仿宋" w:eastAsia="仿宋"/>
          <w:sz w:val="32"/>
          <w:szCs w:val="32"/>
        </w:rPr>
        <w:t>深化教学改革，提高教育教学质量；</w:t>
      </w:r>
      <w:r>
        <w:rPr>
          <w:rFonts w:hint="eastAsia" w:ascii="仿宋" w:hAnsi="仿宋" w:eastAsia="仿宋"/>
          <w:sz w:val="32"/>
          <w:szCs w:val="32"/>
        </w:rPr>
        <w:fldChar w:fldCharType="begin"/>
      </w:r>
      <w:r>
        <w:rPr>
          <w:rFonts w:hint="eastAsia" w:ascii="仿宋" w:hAnsi="仿宋" w:eastAsia="仿宋"/>
          <w:sz w:val="32"/>
          <w:szCs w:val="32"/>
        </w:rPr>
        <w:instrText xml:space="preserve"> = 2 \* GB3 \* MERGEFORMAT </w:instrText>
      </w:r>
      <w:r>
        <w:rPr>
          <w:rFonts w:hint="eastAsia" w:ascii="仿宋" w:hAnsi="仿宋" w:eastAsia="仿宋"/>
          <w:sz w:val="32"/>
          <w:szCs w:val="32"/>
        </w:rPr>
        <w:fldChar w:fldCharType="separate"/>
      </w:r>
      <w:r>
        <w:rPr>
          <w:rFonts w:hint="eastAsia" w:ascii="仿宋" w:hAnsi="仿宋" w:eastAsia="仿宋"/>
          <w:sz w:val="32"/>
          <w:szCs w:val="32"/>
        </w:rPr>
        <w:t>②</w:t>
      </w:r>
      <w:r>
        <w:rPr>
          <w:rFonts w:hint="eastAsia" w:ascii="仿宋" w:hAnsi="仿宋" w:eastAsia="仿宋"/>
          <w:sz w:val="32"/>
          <w:szCs w:val="32"/>
        </w:rPr>
        <w:fldChar w:fldCharType="end"/>
      </w:r>
      <w:r>
        <w:rPr>
          <w:rFonts w:hint="eastAsia" w:ascii="仿宋" w:hAnsi="仿宋" w:eastAsia="仿宋"/>
          <w:sz w:val="32"/>
          <w:szCs w:val="32"/>
        </w:rPr>
        <w:t>以提高师德素养和业务能力为核心，强化教师队伍建设；</w:t>
      </w:r>
      <w:r>
        <w:rPr>
          <w:rFonts w:hint="eastAsia" w:ascii="仿宋" w:hAnsi="仿宋" w:eastAsia="仿宋"/>
          <w:sz w:val="32"/>
          <w:szCs w:val="32"/>
        </w:rPr>
        <w:fldChar w:fldCharType="begin"/>
      </w:r>
      <w:r>
        <w:rPr>
          <w:rFonts w:hint="eastAsia" w:ascii="仿宋" w:hAnsi="仿宋" w:eastAsia="仿宋"/>
          <w:sz w:val="32"/>
          <w:szCs w:val="32"/>
        </w:rPr>
        <w:instrText xml:space="preserve"> = 3 \* GB3 \* MERGEFORMAT </w:instrText>
      </w:r>
      <w:r>
        <w:rPr>
          <w:rFonts w:hint="eastAsia" w:ascii="仿宋" w:hAnsi="仿宋" w:eastAsia="仿宋"/>
          <w:sz w:val="32"/>
          <w:szCs w:val="32"/>
        </w:rPr>
        <w:fldChar w:fldCharType="separate"/>
      </w:r>
      <w:r>
        <w:rPr>
          <w:rFonts w:hint="eastAsia" w:ascii="仿宋" w:hAnsi="仿宋" w:eastAsia="仿宋"/>
          <w:sz w:val="32"/>
          <w:szCs w:val="32"/>
        </w:rPr>
        <w:t>③</w:t>
      </w:r>
      <w:r>
        <w:rPr>
          <w:rFonts w:hint="eastAsia" w:ascii="仿宋" w:hAnsi="仿宋" w:eastAsia="仿宋"/>
          <w:sz w:val="32"/>
          <w:szCs w:val="32"/>
        </w:rPr>
        <w:fldChar w:fldCharType="end"/>
      </w:r>
      <w:r>
        <w:rPr>
          <w:rFonts w:hint="eastAsia" w:ascii="仿宋" w:hAnsi="仿宋" w:eastAsia="仿宋"/>
          <w:sz w:val="32"/>
          <w:szCs w:val="32"/>
        </w:rPr>
        <w:t>推动特色课程改造，传承优秀客家文化；</w:t>
      </w:r>
      <w:r>
        <w:rPr>
          <w:rFonts w:hint="eastAsia" w:ascii="仿宋" w:hAnsi="仿宋" w:eastAsia="仿宋"/>
          <w:sz w:val="32"/>
          <w:szCs w:val="32"/>
        </w:rPr>
        <w:fldChar w:fldCharType="begin"/>
      </w:r>
      <w:r>
        <w:rPr>
          <w:rFonts w:hint="eastAsia" w:ascii="仿宋" w:hAnsi="仿宋" w:eastAsia="仿宋"/>
          <w:sz w:val="32"/>
          <w:szCs w:val="32"/>
        </w:rPr>
        <w:instrText xml:space="preserve"> = 4 \* GB3 \* MERGEFORMAT </w:instrText>
      </w:r>
      <w:r>
        <w:rPr>
          <w:rFonts w:hint="eastAsia" w:ascii="仿宋" w:hAnsi="仿宋" w:eastAsia="仿宋"/>
          <w:sz w:val="32"/>
          <w:szCs w:val="32"/>
        </w:rPr>
        <w:fldChar w:fldCharType="separate"/>
      </w:r>
      <w:r>
        <w:rPr>
          <w:rFonts w:hint="eastAsia" w:ascii="仿宋" w:hAnsi="仿宋" w:eastAsia="仿宋"/>
          <w:sz w:val="32"/>
          <w:szCs w:val="32"/>
        </w:rPr>
        <w:t>④</w:t>
      </w:r>
      <w:r>
        <w:rPr>
          <w:rFonts w:hint="eastAsia" w:ascii="仿宋" w:hAnsi="仿宋" w:eastAsia="仿宋"/>
          <w:sz w:val="32"/>
          <w:szCs w:val="32"/>
        </w:rPr>
        <w:fldChar w:fldCharType="end"/>
      </w:r>
      <w:r>
        <w:rPr>
          <w:rFonts w:hint="eastAsia" w:ascii="仿宋" w:hAnsi="仿宋" w:eastAsia="仿宋"/>
          <w:sz w:val="32"/>
          <w:szCs w:val="32"/>
        </w:rPr>
        <w:t>着力提升办学条件，优化</w:t>
      </w:r>
      <w:r>
        <w:rPr>
          <w:rFonts w:hint="eastAsia" w:ascii="仿宋" w:hAnsi="仿宋" w:eastAsia="仿宋"/>
          <w:sz w:val="32"/>
          <w:szCs w:val="32"/>
          <w:lang w:eastAsia="zh-CN"/>
        </w:rPr>
        <w:t>园</w:t>
      </w:r>
      <w:r>
        <w:rPr>
          <w:rFonts w:hint="eastAsia" w:ascii="仿宋" w:hAnsi="仿宋" w:eastAsia="仿宋"/>
          <w:sz w:val="32"/>
          <w:szCs w:val="32"/>
        </w:rPr>
        <w:t>园环境；</w:t>
      </w:r>
      <w:r>
        <w:rPr>
          <w:rFonts w:hint="eastAsia" w:ascii="仿宋" w:hAnsi="仿宋" w:eastAsia="仿宋"/>
          <w:sz w:val="32"/>
          <w:szCs w:val="32"/>
        </w:rPr>
        <w:fldChar w:fldCharType="begin"/>
      </w:r>
      <w:r>
        <w:rPr>
          <w:rFonts w:hint="eastAsia" w:ascii="仿宋" w:hAnsi="仿宋" w:eastAsia="仿宋"/>
          <w:sz w:val="32"/>
          <w:szCs w:val="32"/>
        </w:rPr>
        <w:instrText xml:space="preserve"> = 5 \* GB3 \* MERGEFORMAT </w:instrText>
      </w:r>
      <w:r>
        <w:rPr>
          <w:rFonts w:hint="eastAsia" w:ascii="仿宋" w:hAnsi="仿宋" w:eastAsia="仿宋"/>
          <w:sz w:val="32"/>
          <w:szCs w:val="32"/>
        </w:rPr>
        <w:fldChar w:fldCharType="separate"/>
      </w:r>
      <w:r>
        <w:rPr>
          <w:rFonts w:hint="eastAsia" w:ascii="仿宋" w:hAnsi="仿宋" w:eastAsia="仿宋"/>
          <w:sz w:val="32"/>
          <w:szCs w:val="32"/>
        </w:rPr>
        <w:t>⑤</w:t>
      </w:r>
      <w:r>
        <w:rPr>
          <w:rFonts w:hint="eastAsia" w:ascii="仿宋" w:hAnsi="仿宋" w:eastAsia="仿宋"/>
          <w:sz w:val="32"/>
          <w:szCs w:val="32"/>
        </w:rPr>
        <w:fldChar w:fldCharType="end"/>
      </w:r>
      <w:r>
        <w:rPr>
          <w:rFonts w:hint="eastAsia" w:ascii="仿宋" w:hAnsi="仿宋" w:eastAsia="仿宋"/>
          <w:sz w:val="32"/>
          <w:szCs w:val="32"/>
        </w:rPr>
        <w:t>保障幼儿园日常工作平稳有序安全运转。我园对以上重点工作能高质高量完成，同时,对上级部门下达或交办的重要事项能及时有效执行。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olor w:val="000000"/>
          <w:sz w:val="32"/>
          <w:szCs w:val="32"/>
          <w:shd w:val="clear" w:color="auto" w:fill="FFFFFF"/>
        </w:rPr>
        <w:t>我园坚持</w:t>
      </w:r>
      <w:r>
        <w:rPr>
          <w:rFonts w:hint="eastAsia" w:ascii="仿宋" w:hAnsi="仿宋" w:eastAsia="仿宋"/>
          <w:sz w:val="32"/>
          <w:szCs w:val="32"/>
        </w:rPr>
        <w:t>以“一切为了孩子，让孩子享受愉快的童年”为办园宗旨，以培养“快乐、健康、个性、智慧”的孩子为目标，坚持保育与教育相结合的原则，对幼儿实施体、智、德、美全面发展的教育。</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二是在项目完成及时性方面，自评分数2分。我园结合自身工作，有序推进各项建设项目，各项目基本均按照建设计划有序推进，均预计可在计划时间内完成，专项资金使用整体按照项目进度有序支付。</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（3）在效果性方面，该项指标自评分为10分。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2019年我园教育教学工作有序开展，有效改善了办园条件，为幼儿德、智、体、美全面发展提供有力保障，保教质量不断提高，得到了社会的高度好评，充分发挥省一级示范幼儿园的辐射作用。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（4）在公平性方面，该项指标自评分为7分。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一是群众信访办理情况自评分3分。我园通过设置意见投诉箱、公示制度等形式，畅通服务对象意见反映渠道，并建立群众意见办理及时回复机制，确保群众意见能及时有效地得到回应和解决。</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二是公众或服务对象满意度自评分4分。我园组织开展了家长对保教、</w:t>
      </w:r>
      <w:r>
        <w:rPr>
          <w:rFonts w:hint="eastAsia" w:ascii="仿宋" w:hAnsi="仿宋" w:eastAsia="仿宋"/>
          <w:sz w:val="32"/>
          <w:szCs w:val="32"/>
          <w:lang w:eastAsia="zh-CN"/>
        </w:rPr>
        <w:t>园</w:t>
      </w:r>
      <w:r>
        <w:rPr>
          <w:rFonts w:hint="eastAsia" w:ascii="仿宋" w:hAnsi="仿宋" w:eastAsia="仿宋"/>
          <w:sz w:val="32"/>
          <w:szCs w:val="32"/>
        </w:rPr>
        <w:t>园环境等各方面满意度调查。我园不断加强软硬件设施建设，为幼儿德、智、体、美全面发展提供有力保障，得到了社会的高度好评，充分发挥省一级示范幼儿园的辐射作用。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（5）在加减分项，该项指标自评分为0分</w:t>
      </w:r>
    </w:p>
    <w:p>
      <w:pPr>
        <w:adjustRightInd w:val="0"/>
        <w:snapToGrid w:val="0"/>
        <w:spacing w:line="560" w:lineRule="exact"/>
        <w:ind w:firstLine="643" w:firstLineChars="200"/>
        <w:rPr>
          <w:rFonts w:ascii="楷体_GB2312" w:hAnsi="楷体_GB2312" w:eastAsia="楷体_GB2312" w:cs="楷体_GB2312"/>
          <w:b/>
          <w:bCs/>
          <w:sz w:val="32"/>
          <w:szCs w:val="32"/>
          <w:highlight w:val="cyan"/>
        </w:rPr>
      </w:pPr>
      <w:r>
        <w:rPr>
          <w:rFonts w:hint="eastAsia" w:ascii="楷体_GB2312" w:hAnsi="楷体_GB2312" w:eastAsia="楷体_GB2312" w:cs="楷体_GB2312"/>
          <w:b/>
          <w:bCs/>
          <w:sz w:val="32"/>
          <w:szCs w:val="32"/>
        </w:rPr>
        <w:t>（三）部门整体支出绩效管理存在问题及改进意见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1.部门整体支出绩效管理存在问题</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我园2019年整体绩效自评良好，但仍存在着不足之处，仍需进一步改进与完善，如在绩效指标明确性方面，我园部分绩效指标的设置方面还存在不够清晰、可衡量的</w:t>
      </w:r>
      <w:r>
        <w:rPr>
          <w:rFonts w:hint="eastAsia" w:ascii="仿宋_GB2312" w:eastAsia="仿宋_GB2312"/>
          <w:sz w:val="32"/>
          <w:szCs w:val="32"/>
          <w:lang w:eastAsia="zh-CN"/>
        </w:rPr>
        <w:t>指标值</w:t>
      </w:r>
      <w:r>
        <w:rPr>
          <w:rFonts w:hint="eastAsia" w:ascii="仿宋_GB2312" w:eastAsia="仿宋_GB2312"/>
          <w:sz w:val="32"/>
          <w:szCs w:val="32"/>
        </w:rPr>
        <w:t>，不便于开展量化评价。</w:t>
      </w:r>
    </w:p>
    <w:p>
      <w:pPr>
        <w:widowControl/>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2.部门整体支出绩效管理改进措施</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（1）更加科学设置绩效目标及指标，增强绩效指标的清晰性、可衡量性，便于开展量化评价，及时了解资金使用绩效情况。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（2）加强部门预算资金、特别是项目资金的执行进度跟踪，及时与资金使用部门协同资金支出进度，避免支出进度滞后，造成年底财政资金冗余。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（3）进一步规范我园的资产管理和采购计划，建立和完善相关制度，促使我园的资产管理和政府采购方面上一个新台阶。</w:t>
      </w:r>
    </w:p>
    <w:p>
      <w:pPr>
        <w:adjustRightInd w:val="0"/>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三、其他自评情况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努力办好学前教育和加强制度管理，确保资金发挥最大效用，为梅州市学前教育事业作出更大的贡献。本次评价基础数据和佐证材料的收集认真细致，项目检查核实严格认真，资料来源和依据真实可靠。</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在党和政府对学前教育事业的关心和支持下，为我</w:t>
      </w:r>
      <w:bookmarkStart w:id="0" w:name="_GoBack"/>
      <w:bookmarkEnd w:id="0"/>
      <w:r>
        <w:rPr>
          <w:rFonts w:hint="eastAsia" w:ascii="仿宋_GB2312" w:eastAsia="仿宋_GB2312"/>
          <w:sz w:val="32"/>
          <w:szCs w:val="32"/>
          <w:lang w:eastAsia="zh-CN"/>
        </w:rPr>
        <w:t>园</w:t>
      </w:r>
      <w:r>
        <w:rPr>
          <w:rFonts w:hint="eastAsia" w:ascii="仿宋_GB2312" w:eastAsia="仿宋_GB2312"/>
          <w:sz w:val="32"/>
          <w:szCs w:val="32"/>
        </w:rPr>
        <w:t>发展学前教育事业创造了条件，实现了良好的经济性、效率性、有效性和可持续性，有力地推动梅州市学前教育事业的发展。</w:t>
      </w:r>
    </w:p>
    <w:sectPr>
      <w:footerReference r:id="rId3" w:type="default"/>
      <w:pgSz w:w="11906" w:h="16838"/>
      <w:pgMar w:top="1701" w:right="1587" w:bottom="1417" w:left="1474"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文本框 2"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unvQEAAFUDAAAOAAAAZHJzL2Uyb0RvYy54bWysU81uEzEQviPxDpbvzSZpQ6tVNhWoKkKq&#10;AKntAzheO2theyyPm928ALwBJy7cea48R8fOX4Eb4jI7Hn/+Zr6Z2fn14Cxbq4gGfMMnozFnykto&#10;jV81/PHh9uyKM0zCt8KCVw3fKOTXi9ev5n2o1RQ6sK2KjEg81n1oeJdSqKsKZaecwBEE5elSQ3Qi&#10;0TGuqjaKntidrabj8Zuqh9iGCFIhUvRmd8kXhV9rJdMnrVElZhtOtaViY7HLbKvFXNSrKEJn5L4M&#10;8Q9VOGE8JT1S3Ygk2FM0f1E5IyMg6DSS4CrQ2khVNJCayfgPNfedCKpooeZgOLYJ/x+t/Lj+HJlp&#10;aXaceeFoRNvv37Y/fm1/fmXT3J4+YE2o+0C4NLyDIUOzVAx3IL8gQaoXmN0DJHTGDDq6/CWhjB7S&#10;BDbHrqshMUnB2eXl1YwzSTeT88nFxSxnrU5vQ8T0XoFj2Wl4pJmW/GJ9h2kHPUByKg+3xlqKi9r6&#10;3wLEmSOl2l2Bue40LAdCZ3cJ7YZU9rQODfe0r5zZD566nTfn4MSDs9w7OQeGt0+JEpd6TlT7ZDS7&#10;omi/Z3k5Xp4L6vQ3LJ4BAAD//wMAUEsDBBQABgAIAAAAIQCsucL82gAAAAIBAAAPAAAAZHJzL2Rv&#10;d25yZXYueG1sTI/NTsMwEITvSLyDtUjcqNMe+hPiVBVVL4AEFA5w28RLErDXUey24e1ZuMBlpdGM&#10;Zr4t1qN36khD7AIbmE4yUMR1sB03Bl6ed1dLUDEhW3SBycAXRViX52cF5jac+ImO+9QoKeGYo4E2&#10;pT7XOtYteYyT0BOL9x4Gj0nk0Gg74EnKvdOzLJtrjx3LQos93bRUf+4P3sCO565yt8vF3cN281i9&#10;rbb3r/xhzOXFuLkGlWhMf2H4wRd0KIWpCge2UTkD8kj6veKtpqAqA7NsAbos9H/08hsAAP//AwBQ&#10;SwECLQAUAAYACAAAACEAtoM4kv4AAADhAQAAEwAAAAAAAAAAAAAAAAAAAAAAW0NvbnRlbnRfVHlw&#10;ZXNdLnhtbFBLAQItABQABgAIAAAAIQA4/SH/1gAAAJQBAAALAAAAAAAAAAAAAAAAAC8BAABfcmVs&#10;cy8ucmVsc1BLAQItABQABgAIAAAAIQBDMqunvQEAAFUDAAAOAAAAAAAAAAAAAAAAAC4CAABkcnMv&#10;ZTJvRG9jLnhtbFBLAQItABQABgAIAAAAIQCsucL82gAAAAIBAAAPAAAAAAAAAAAAAAAAABcEAABk&#10;cnMvZG93bnJldi54bWxQSwUGAAAAAAQABADzAAAAHgUAAAAA&#10;">
          <v:path arrowok="t"/>
          <v:fill on="f" focussize="0,0"/>
          <v:stroke on="f" joinstyle="miter"/>
          <v:imagedata o:title=""/>
          <o:lock v:ext="edit"/>
          <v:textbox inset="0mm,0mm,0mm,0mm" style="mso-fit-shape-to-text:t;">
            <w:txbxContent>
              <w:p>
                <w:pPr>
                  <w:pStyle w:val="2"/>
                  <w:jc w:val="center"/>
                </w:pPr>
                <w:r>
                  <w:fldChar w:fldCharType="begin"/>
                </w:r>
                <w:r>
                  <w:instrText xml:space="preserve">PAGE   \* MERGEFORMAT</w:instrText>
                </w:r>
                <w:r>
                  <w:fldChar w:fldCharType="separate"/>
                </w:r>
                <w:r>
                  <w:rPr>
                    <w:lang w:val="zh-CN"/>
                  </w:rP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AD12C02"/>
    <w:rsid w:val="00013888"/>
    <w:rsid w:val="00021402"/>
    <w:rsid w:val="00027420"/>
    <w:rsid w:val="00037ACE"/>
    <w:rsid w:val="00041D05"/>
    <w:rsid w:val="00093E94"/>
    <w:rsid w:val="000A289A"/>
    <w:rsid w:val="000A4715"/>
    <w:rsid w:val="000C07CF"/>
    <w:rsid w:val="000D284D"/>
    <w:rsid w:val="000F0EE1"/>
    <w:rsid w:val="000F242E"/>
    <w:rsid w:val="000F5A17"/>
    <w:rsid w:val="000F5AA7"/>
    <w:rsid w:val="000F61F7"/>
    <w:rsid w:val="00101D24"/>
    <w:rsid w:val="001163F0"/>
    <w:rsid w:val="00120778"/>
    <w:rsid w:val="0012262B"/>
    <w:rsid w:val="00123231"/>
    <w:rsid w:val="00132431"/>
    <w:rsid w:val="00135FFF"/>
    <w:rsid w:val="00145C6D"/>
    <w:rsid w:val="00180287"/>
    <w:rsid w:val="001A761D"/>
    <w:rsid w:val="001B02C2"/>
    <w:rsid w:val="001B12F6"/>
    <w:rsid w:val="001C63B3"/>
    <w:rsid w:val="001D1A2F"/>
    <w:rsid w:val="001D58D1"/>
    <w:rsid w:val="0021161B"/>
    <w:rsid w:val="00241E72"/>
    <w:rsid w:val="002614BD"/>
    <w:rsid w:val="00291D33"/>
    <w:rsid w:val="002A1E66"/>
    <w:rsid w:val="002C0812"/>
    <w:rsid w:val="002D2143"/>
    <w:rsid w:val="002E22DB"/>
    <w:rsid w:val="002F54F5"/>
    <w:rsid w:val="002F77E6"/>
    <w:rsid w:val="0030697F"/>
    <w:rsid w:val="00331398"/>
    <w:rsid w:val="003463FE"/>
    <w:rsid w:val="0035199A"/>
    <w:rsid w:val="00353584"/>
    <w:rsid w:val="0036007A"/>
    <w:rsid w:val="003642AB"/>
    <w:rsid w:val="00365611"/>
    <w:rsid w:val="00365B73"/>
    <w:rsid w:val="0038068E"/>
    <w:rsid w:val="00397044"/>
    <w:rsid w:val="003A046F"/>
    <w:rsid w:val="003A66BC"/>
    <w:rsid w:val="00427803"/>
    <w:rsid w:val="00433A10"/>
    <w:rsid w:val="0045284F"/>
    <w:rsid w:val="00474735"/>
    <w:rsid w:val="004A139A"/>
    <w:rsid w:val="004A68C2"/>
    <w:rsid w:val="004C053A"/>
    <w:rsid w:val="004E0C29"/>
    <w:rsid w:val="00502E29"/>
    <w:rsid w:val="005057E2"/>
    <w:rsid w:val="00510093"/>
    <w:rsid w:val="00513E47"/>
    <w:rsid w:val="00537F12"/>
    <w:rsid w:val="00560C6F"/>
    <w:rsid w:val="00565B52"/>
    <w:rsid w:val="00577A8F"/>
    <w:rsid w:val="00591DC9"/>
    <w:rsid w:val="005A5265"/>
    <w:rsid w:val="005C0353"/>
    <w:rsid w:val="005C6C59"/>
    <w:rsid w:val="005D3136"/>
    <w:rsid w:val="005F0154"/>
    <w:rsid w:val="00600333"/>
    <w:rsid w:val="00602B14"/>
    <w:rsid w:val="00604D17"/>
    <w:rsid w:val="006079D5"/>
    <w:rsid w:val="006154EB"/>
    <w:rsid w:val="00623C3A"/>
    <w:rsid w:val="00633FFA"/>
    <w:rsid w:val="00640A30"/>
    <w:rsid w:val="0065057D"/>
    <w:rsid w:val="00677942"/>
    <w:rsid w:val="0068153C"/>
    <w:rsid w:val="006A5CB0"/>
    <w:rsid w:val="00700C5C"/>
    <w:rsid w:val="007231E1"/>
    <w:rsid w:val="0073454C"/>
    <w:rsid w:val="007A2AC1"/>
    <w:rsid w:val="007C1923"/>
    <w:rsid w:val="007F50B6"/>
    <w:rsid w:val="00805526"/>
    <w:rsid w:val="008115C6"/>
    <w:rsid w:val="00816D8B"/>
    <w:rsid w:val="00830479"/>
    <w:rsid w:val="008336AD"/>
    <w:rsid w:val="00842181"/>
    <w:rsid w:val="00847455"/>
    <w:rsid w:val="0085246F"/>
    <w:rsid w:val="00876547"/>
    <w:rsid w:val="00896867"/>
    <w:rsid w:val="008A1C70"/>
    <w:rsid w:val="008A4492"/>
    <w:rsid w:val="008E064D"/>
    <w:rsid w:val="00901E27"/>
    <w:rsid w:val="009514EA"/>
    <w:rsid w:val="0096321D"/>
    <w:rsid w:val="009731F5"/>
    <w:rsid w:val="00983267"/>
    <w:rsid w:val="00983D09"/>
    <w:rsid w:val="0099366B"/>
    <w:rsid w:val="009A7114"/>
    <w:rsid w:val="009C2D78"/>
    <w:rsid w:val="009D57DA"/>
    <w:rsid w:val="009E72D8"/>
    <w:rsid w:val="009F112D"/>
    <w:rsid w:val="009F2AEE"/>
    <w:rsid w:val="009F2F40"/>
    <w:rsid w:val="00A0165A"/>
    <w:rsid w:val="00A0272E"/>
    <w:rsid w:val="00A029E0"/>
    <w:rsid w:val="00A02D6C"/>
    <w:rsid w:val="00A06729"/>
    <w:rsid w:val="00A4304E"/>
    <w:rsid w:val="00AA2D2A"/>
    <w:rsid w:val="00AB120E"/>
    <w:rsid w:val="00AB234B"/>
    <w:rsid w:val="00AB3B43"/>
    <w:rsid w:val="00AC5F02"/>
    <w:rsid w:val="00AD20B4"/>
    <w:rsid w:val="00AD6582"/>
    <w:rsid w:val="00AE566F"/>
    <w:rsid w:val="00B56815"/>
    <w:rsid w:val="00B56A79"/>
    <w:rsid w:val="00B6440D"/>
    <w:rsid w:val="00B66325"/>
    <w:rsid w:val="00BD5869"/>
    <w:rsid w:val="00BF508F"/>
    <w:rsid w:val="00C02968"/>
    <w:rsid w:val="00C030EC"/>
    <w:rsid w:val="00C1395D"/>
    <w:rsid w:val="00C13C52"/>
    <w:rsid w:val="00C33CF9"/>
    <w:rsid w:val="00C465FD"/>
    <w:rsid w:val="00C53AE0"/>
    <w:rsid w:val="00C61FDE"/>
    <w:rsid w:val="00CB6BB1"/>
    <w:rsid w:val="00CC326A"/>
    <w:rsid w:val="00CC4A4E"/>
    <w:rsid w:val="00CD1DE3"/>
    <w:rsid w:val="00CD6C63"/>
    <w:rsid w:val="00CF23CE"/>
    <w:rsid w:val="00D0616C"/>
    <w:rsid w:val="00D13ED2"/>
    <w:rsid w:val="00D21F4B"/>
    <w:rsid w:val="00D45907"/>
    <w:rsid w:val="00D46709"/>
    <w:rsid w:val="00D55F59"/>
    <w:rsid w:val="00D74D22"/>
    <w:rsid w:val="00D91C33"/>
    <w:rsid w:val="00DD2A1F"/>
    <w:rsid w:val="00DD6487"/>
    <w:rsid w:val="00DF1C2C"/>
    <w:rsid w:val="00DF3374"/>
    <w:rsid w:val="00DF3740"/>
    <w:rsid w:val="00DF593D"/>
    <w:rsid w:val="00E03310"/>
    <w:rsid w:val="00E1777A"/>
    <w:rsid w:val="00E27C9E"/>
    <w:rsid w:val="00E344DD"/>
    <w:rsid w:val="00E5449D"/>
    <w:rsid w:val="00E65117"/>
    <w:rsid w:val="00EA4D4D"/>
    <w:rsid w:val="00ED71A5"/>
    <w:rsid w:val="00EF666A"/>
    <w:rsid w:val="00F22470"/>
    <w:rsid w:val="00F26A47"/>
    <w:rsid w:val="00F32916"/>
    <w:rsid w:val="00F32DB5"/>
    <w:rsid w:val="00F50E5A"/>
    <w:rsid w:val="00FA1D4C"/>
    <w:rsid w:val="00FA402F"/>
    <w:rsid w:val="00FB2039"/>
    <w:rsid w:val="00FF79CD"/>
    <w:rsid w:val="05767709"/>
    <w:rsid w:val="06677BCA"/>
    <w:rsid w:val="08270E7B"/>
    <w:rsid w:val="09E17A2B"/>
    <w:rsid w:val="0AA62FE6"/>
    <w:rsid w:val="0AEB4CD1"/>
    <w:rsid w:val="0C391C56"/>
    <w:rsid w:val="0C3C71D9"/>
    <w:rsid w:val="0C477B17"/>
    <w:rsid w:val="0CF62845"/>
    <w:rsid w:val="0EBB063C"/>
    <w:rsid w:val="101D21A0"/>
    <w:rsid w:val="10307399"/>
    <w:rsid w:val="110F5559"/>
    <w:rsid w:val="12350700"/>
    <w:rsid w:val="15472090"/>
    <w:rsid w:val="16317597"/>
    <w:rsid w:val="171C7901"/>
    <w:rsid w:val="189B5D52"/>
    <w:rsid w:val="1B465C24"/>
    <w:rsid w:val="1D574E87"/>
    <w:rsid w:val="1DE6275C"/>
    <w:rsid w:val="1EE2638C"/>
    <w:rsid w:val="206A336A"/>
    <w:rsid w:val="227D7D89"/>
    <w:rsid w:val="22A319D7"/>
    <w:rsid w:val="248C1C3F"/>
    <w:rsid w:val="27C93CBC"/>
    <w:rsid w:val="2B9E4FE2"/>
    <w:rsid w:val="2C5B75EF"/>
    <w:rsid w:val="2DA91D0D"/>
    <w:rsid w:val="2E707C87"/>
    <w:rsid w:val="2EE247CB"/>
    <w:rsid w:val="2FAE2104"/>
    <w:rsid w:val="31BA316E"/>
    <w:rsid w:val="323C43A3"/>
    <w:rsid w:val="332A67E0"/>
    <w:rsid w:val="33CF0B5B"/>
    <w:rsid w:val="34332832"/>
    <w:rsid w:val="356D6859"/>
    <w:rsid w:val="3603087E"/>
    <w:rsid w:val="37B87B49"/>
    <w:rsid w:val="3A0F1722"/>
    <w:rsid w:val="3A113AF1"/>
    <w:rsid w:val="3CAA6B87"/>
    <w:rsid w:val="3CE178CF"/>
    <w:rsid w:val="3DBA40C3"/>
    <w:rsid w:val="3DF20483"/>
    <w:rsid w:val="3DF7202E"/>
    <w:rsid w:val="3E096BD2"/>
    <w:rsid w:val="408418E7"/>
    <w:rsid w:val="40A17027"/>
    <w:rsid w:val="442F01EB"/>
    <w:rsid w:val="448A215D"/>
    <w:rsid w:val="45170AF8"/>
    <w:rsid w:val="45E918B5"/>
    <w:rsid w:val="462A160C"/>
    <w:rsid w:val="49917B23"/>
    <w:rsid w:val="4B0A0E16"/>
    <w:rsid w:val="4BB44CD7"/>
    <w:rsid w:val="4C6B47DE"/>
    <w:rsid w:val="4C73133D"/>
    <w:rsid w:val="4D8C0A36"/>
    <w:rsid w:val="4FC668C8"/>
    <w:rsid w:val="500F2331"/>
    <w:rsid w:val="50B66692"/>
    <w:rsid w:val="51C7477A"/>
    <w:rsid w:val="5356757A"/>
    <w:rsid w:val="537F4AB1"/>
    <w:rsid w:val="54663624"/>
    <w:rsid w:val="57E75639"/>
    <w:rsid w:val="57E94CAC"/>
    <w:rsid w:val="58D5394E"/>
    <w:rsid w:val="59D37AC2"/>
    <w:rsid w:val="5B13039F"/>
    <w:rsid w:val="5B815ED1"/>
    <w:rsid w:val="5BF92873"/>
    <w:rsid w:val="5E573B21"/>
    <w:rsid w:val="5F2F5BCF"/>
    <w:rsid w:val="612B374A"/>
    <w:rsid w:val="61734745"/>
    <w:rsid w:val="61E6686A"/>
    <w:rsid w:val="62601545"/>
    <w:rsid w:val="62AD73AB"/>
    <w:rsid w:val="68080A67"/>
    <w:rsid w:val="6AD12C02"/>
    <w:rsid w:val="6B285ACB"/>
    <w:rsid w:val="6B5F00A6"/>
    <w:rsid w:val="6C557BFB"/>
    <w:rsid w:val="6DA731C9"/>
    <w:rsid w:val="6E4057A2"/>
    <w:rsid w:val="703755D9"/>
    <w:rsid w:val="722E34F5"/>
    <w:rsid w:val="72930E72"/>
    <w:rsid w:val="737C44D5"/>
    <w:rsid w:val="739362BC"/>
    <w:rsid w:val="74135801"/>
    <w:rsid w:val="74287E23"/>
    <w:rsid w:val="77097B76"/>
    <w:rsid w:val="77897644"/>
    <w:rsid w:val="77C34F45"/>
    <w:rsid w:val="787E1E0A"/>
    <w:rsid w:val="790F4486"/>
    <w:rsid w:val="79610291"/>
    <w:rsid w:val="7A6054AC"/>
    <w:rsid w:val="7B0610C7"/>
    <w:rsid w:val="7B1C5F04"/>
    <w:rsid w:val="7D9D0F87"/>
    <w:rsid w:val="7D9F5311"/>
    <w:rsid w:val="7EBD2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7F1C2-779A-4760-A832-130D041C80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801</Words>
  <Characters>4571</Characters>
  <Lines>38</Lines>
  <Paragraphs>10</Paragraphs>
  <TotalTime>433</TotalTime>
  <ScaleCrop>false</ScaleCrop>
  <LinksUpToDate>false</LinksUpToDate>
  <CharactersWithSpaces>5362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2020-07-25T01:30:00Z</dcterms:created>
  <dc:creator>Administrator</dc:creator>
  <cp:lastModifiedBy>jg</cp:lastModifiedBy>
  <dcterms:modified xsi:type="dcterms:W3CDTF">2020-09-29T04:21:12Z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